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063A" w14:textId="4385FF89" w:rsidR="00B959A7" w:rsidRPr="00224619" w:rsidRDefault="00B959A7" w:rsidP="00AF2EA4">
      <w:pPr>
        <w:spacing w:before="100" w:beforeAutospacing="1" w:after="100" w:afterAutospacing="1"/>
        <w:jc w:val="center"/>
        <w:rPr>
          <w:rFonts w:ascii="Arial Nova" w:eastAsia="Times New Roman" w:hAnsi="Arial Nova" w:cs="Times New Roman"/>
          <w:b/>
          <w:bCs/>
          <w:sz w:val="36"/>
          <w:szCs w:val="36"/>
        </w:rPr>
      </w:pPr>
      <w:r w:rsidRPr="00224619">
        <w:rPr>
          <w:rFonts w:ascii="Arial Nova" w:eastAsia="Times New Roman" w:hAnsi="Arial Nova" w:cs="Times New Roman"/>
          <w:b/>
          <w:bCs/>
          <w:sz w:val="36"/>
          <w:szCs w:val="36"/>
        </w:rPr>
        <w:t xml:space="preserve">Benedictine University’s School of Education Teacher Education Program </w:t>
      </w:r>
      <w:r w:rsidR="0004373D">
        <w:rPr>
          <w:rFonts w:ascii="Arial Nova" w:eastAsia="Times New Roman" w:hAnsi="Arial Nova" w:cs="Times New Roman"/>
          <w:b/>
          <w:bCs/>
          <w:sz w:val="36"/>
          <w:szCs w:val="36"/>
        </w:rPr>
        <w:t xml:space="preserve">(TEP) </w:t>
      </w:r>
      <w:r w:rsidRPr="00224619">
        <w:rPr>
          <w:rFonts w:ascii="Arial Nova" w:eastAsia="Times New Roman" w:hAnsi="Arial Nova" w:cs="Times New Roman"/>
          <w:b/>
          <w:bCs/>
          <w:sz w:val="36"/>
          <w:szCs w:val="36"/>
        </w:rPr>
        <w:t>Checkpoints</w:t>
      </w:r>
    </w:p>
    <w:p w14:paraId="1286CB8F" w14:textId="0559AA26" w:rsidR="00B959A7" w:rsidRPr="0004373D" w:rsidRDefault="00B959A7" w:rsidP="00AF2EA4">
      <w:pPr>
        <w:rPr>
          <w:rFonts w:ascii="Arial Nova" w:eastAsia="Times New Roman" w:hAnsi="Arial Nova" w:cs="Times New Roman"/>
          <w:i/>
          <w:iCs/>
          <w:sz w:val="20"/>
          <w:szCs w:val="20"/>
        </w:rPr>
      </w:pPr>
      <w:r w:rsidRPr="0004373D">
        <w:rPr>
          <w:rFonts w:ascii="Arial Nova" w:eastAsia="Times New Roman" w:hAnsi="Arial Nova" w:cs="Times New Roman"/>
          <w:i/>
          <w:iCs/>
          <w:sz w:val="20"/>
          <w:szCs w:val="20"/>
        </w:rPr>
        <w:t xml:space="preserve">Please note that any course required for licensure requires a grade of C or better at degree/licensure completion. There is no limit to the number of times one may take any state exam. </w:t>
      </w:r>
      <w:r w:rsidRPr="0004373D">
        <w:rPr>
          <w:rFonts w:ascii="Arial Nova" w:eastAsia="Times New Roman" w:hAnsi="Arial Nova" w:cs="Times New Roman"/>
          <w:i/>
          <w:iCs/>
          <w:color w:val="000000"/>
          <w:sz w:val="20"/>
          <w:szCs w:val="20"/>
        </w:rPr>
        <w:t>These procedures are subject to be changed due to state mandates</w:t>
      </w:r>
      <w:r w:rsidR="00B6458A" w:rsidRPr="0004373D">
        <w:rPr>
          <w:rFonts w:ascii="Arial Nova" w:eastAsia="Times New Roman" w:hAnsi="Arial Nova" w:cs="Times New Roman"/>
          <w:i/>
          <w:iCs/>
          <w:color w:val="000000"/>
          <w:sz w:val="20"/>
          <w:szCs w:val="20"/>
        </w:rPr>
        <w:t xml:space="preserve"> and unforeseen changes.</w:t>
      </w:r>
      <w:r w:rsidR="00DD70DF" w:rsidRPr="0004373D">
        <w:rPr>
          <w:rFonts w:ascii="Arial Nova" w:eastAsia="Times New Roman" w:hAnsi="Arial Nova" w:cs="Times New Roman"/>
          <w:i/>
          <w:iCs/>
          <w:color w:val="000000"/>
          <w:sz w:val="20"/>
          <w:szCs w:val="20"/>
        </w:rPr>
        <w:t xml:space="preserve">  </w:t>
      </w:r>
      <w:r w:rsidRPr="0004373D">
        <w:rPr>
          <w:rFonts w:ascii="Arial Nova" w:eastAsia="Times New Roman" w:hAnsi="Arial Nova" w:cs="Times New Roman"/>
          <w:i/>
          <w:iCs/>
          <w:color w:val="000000"/>
          <w:sz w:val="20"/>
          <w:szCs w:val="20"/>
        </w:rPr>
        <w:t xml:space="preserve">The ultimate and final responsibility for fulfilling these requirements rests on the individual student. </w:t>
      </w:r>
      <w:r w:rsidR="00560D87" w:rsidRPr="0004373D">
        <w:rPr>
          <w:rFonts w:ascii="Arial Nova" w:eastAsia="Times New Roman" w:hAnsi="Arial Nova" w:cs="Times New Roman"/>
          <w:i/>
          <w:iCs/>
          <w:color w:val="000000"/>
          <w:sz w:val="20"/>
          <w:szCs w:val="20"/>
        </w:rPr>
        <w:t xml:space="preserve">If you have any questions, please contact your advisor. </w:t>
      </w:r>
    </w:p>
    <w:p w14:paraId="1991F3CF" w14:textId="77777777" w:rsidR="00224619" w:rsidRPr="0004373D" w:rsidRDefault="00B959A7" w:rsidP="00224619">
      <w:p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b/>
          <w:bCs/>
        </w:rPr>
        <w:t xml:space="preserve">Checkpoint 1 – Pre-Admission to TEP: </w:t>
      </w:r>
      <w:r w:rsidRPr="0004373D">
        <w:rPr>
          <w:rFonts w:ascii="Arial Nova" w:eastAsia="Times New Roman" w:hAnsi="Arial Nova" w:cs="Times New Roman"/>
          <w:i/>
          <w:iCs/>
        </w:rPr>
        <w:t>(30 or more credits)</w:t>
      </w:r>
      <w:r w:rsidRPr="0004373D">
        <w:rPr>
          <w:rFonts w:ascii="Arial Nova" w:eastAsia="Times New Roman" w:hAnsi="Arial Nova" w:cs="Times New Roman"/>
          <w:i/>
          <w:iCs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Checkpoint 1 is designed to ensure that each candidate has met the prerequisites necessary to begin their application to the Teacher Education Program. </w:t>
      </w:r>
    </w:p>
    <w:p w14:paraId="07FDE525" w14:textId="2BADB601" w:rsidR="00B959A7" w:rsidRPr="008E7C81" w:rsidRDefault="00B959A7" w:rsidP="00224619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Completion of Protecting All God’s Childre</w:t>
      </w:r>
      <w:r w:rsidR="00AF2EA4" w:rsidRPr="0004373D">
        <w:rPr>
          <w:rFonts w:ascii="Arial Nova" w:eastAsia="Times New Roman" w:hAnsi="Arial Nova" w:cs="Times New Roman"/>
          <w:sz w:val="22"/>
          <w:szCs w:val="22"/>
        </w:rPr>
        <w:t>n training AND providing the Director of Student Placement with a copy of your certificate (Prior to PC1 experience):</w:t>
      </w:r>
    </w:p>
    <w:p w14:paraId="30FA094A" w14:textId="58AA493C" w:rsidR="008E7C81" w:rsidRDefault="008E7C81" w:rsidP="008E7C81">
      <w:pPr>
        <w:pStyle w:val="ListParagraph"/>
        <w:spacing w:before="100" w:beforeAutospacing="1" w:after="100" w:afterAutospacing="1"/>
      </w:pPr>
      <w:hyperlink r:id="rId11" w:tgtFrame="_blank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https://www.diojoliet.org/web/child-protection/virtus-</w:t>
        </w:r>
        <w:r>
          <w:rPr>
            <w:rStyle w:val="mark9wivv6fze"/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protecting</w:t>
        </w:r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-</w:t>
        </w:r>
        <w:r>
          <w:rPr>
            <w:rStyle w:val="mark302s4vp69"/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god</w:t>
        </w:r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s-children</w:t>
        </w:r>
      </w:hyperlink>
    </w:p>
    <w:p w14:paraId="73A03830" w14:textId="77777777" w:rsidR="008E7C81" w:rsidRPr="0004373D" w:rsidRDefault="008E7C81" w:rsidP="008E7C81">
      <w:pPr>
        <w:pStyle w:val="ListParagraph"/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</w:p>
    <w:p w14:paraId="658D18DE" w14:textId="2A09B57B" w:rsidR="00AF2EA4" w:rsidRPr="0004373D" w:rsidRDefault="00AF2EA4" w:rsidP="00AF2EA4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color w:val="000000"/>
          <w:sz w:val="22"/>
          <w:szCs w:val="22"/>
        </w:rPr>
      </w:pPr>
      <w:r w:rsidRPr="0004373D">
        <w:rPr>
          <w:rFonts w:ascii="Arial Nova" w:eastAsia="Times New Roman" w:hAnsi="Arial Nova" w:cs="Times New Roman"/>
          <w:color w:val="000000"/>
          <w:sz w:val="22"/>
          <w:szCs w:val="22"/>
        </w:rPr>
        <w:t>Completing DCFS Mandatory Reporter training and then providing the Director of Student Placement with a copy of your training certificate. (Prior to PC1 experience):</w:t>
      </w:r>
    </w:p>
    <w:p w14:paraId="31028599" w14:textId="77777777" w:rsidR="00224619" w:rsidRPr="0004373D" w:rsidRDefault="00000000" w:rsidP="00224619">
      <w:pPr>
        <w:pStyle w:val="ListParagraph"/>
        <w:spacing w:before="100" w:beforeAutospacing="1" w:after="100" w:afterAutospacing="1"/>
        <w:rPr>
          <w:rFonts w:ascii="Arial Nova" w:eastAsia="Times New Roman" w:hAnsi="Arial Nova" w:cs="Times New Roman"/>
          <w:color w:val="000000"/>
          <w:sz w:val="22"/>
          <w:szCs w:val="22"/>
        </w:rPr>
      </w:pPr>
      <w:hyperlink r:id="rId12" w:history="1">
        <w:r w:rsidR="00AF2EA4" w:rsidRPr="0004373D">
          <w:rPr>
            <w:rStyle w:val="Hyperlink"/>
            <w:rFonts w:ascii="Arial Nova" w:eastAsia="Times New Roman" w:hAnsi="Arial Nova" w:cs="Times New Roman"/>
            <w:sz w:val="22"/>
            <w:szCs w:val="22"/>
          </w:rPr>
          <w:t>https://mr.dcfstraining.org/User/Auth/Login!loginPage.action</w:t>
        </w:r>
      </w:hyperlink>
    </w:p>
    <w:p w14:paraId="3C6C304F" w14:textId="20BDEB8F" w:rsidR="00AF2EA4" w:rsidRPr="0004373D" w:rsidRDefault="00AF2EA4" w:rsidP="00224619">
      <w:pPr>
        <w:pStyle w:val="ListParagraph"/>
        <w:spacing w:before="100" w:beforeAutospacing="1" w:after="100" w:afterAutospacing="1"/>
        <w:rPr>
          <w:rFonts w:ascii="Arial Nova" w:eastAsia="Times New Roman" w:hAnsi="Arial Nova" w:cs="Times New Roman"/>
          <w:i/>
          <w:iCs/>
          <w:color w:val="000000"/>
          <w:sz w:val="22"/>
          <w:szCs w:val="22"/>
        </w:rPr>
      </w:pPr>
      <w:r w:rsidRPr="00AF2EA4">
        <w:rPr>
          <w:rFonts w:ascii="Arial Nova" w:eastAsia="Times New Roman" w:hAnsi="Arial Nova" w:cs="Times New Roman"/>
          <w:i/>
          <w:iCs/>
          <w:color w:val="000000"/>
          <w:sz w:val="22"/>
          <w:szCs w:val="22"/>
        </w:rPr>
        <w:t>Failure to complete any of the above procedures will result in a delay of registration and a delay in the</w:t>
      </w:r>
      <w:r w:rsidR="00224619" w:rsidRPr="0004373D">
        <w:rPr>
          <w:rFonts w:ascii="Arial Nova" w:eastAsia="Times New Roman" w:hAnsi="Arial Nova" w:cs="Times New Roman"/>
          <w:i/>
          <w:iCs/>
          <w:color w:val="000000"/>
          <w:sz w:val="22"/>
          <w:szCs w:val="22"/>
        </w:rPr>
        <w:t xml:space="preserve"> placement of your experience.</w:t>
      </w:r>
    </w:p>
    <w:p w14:paraId="200892BF" w14:textId="388B7DDE" w:rsidR="00B959A7" w:rsidRPr="0004373D" w:rsidRDefault="00B959A7" w:rsidP="00DD70DF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Completion of the Basic Skills Requirements</w:t>
      </w:r>
      <w:r w:rsidR="0004373D">
        <w:rPr>
          <w:rFonts w:ascii="Arial Nova" w:eastAsia="Times New Roman" w:hAnsi="Arial Nova" w:cs="Times New Roman"/>
          <w:sz w:val="22"/>
          <w:szCs w:val="22"/>
        </w:rPr>
        <w:t xml:space="preserve"> from Distributed Requirements:</w:t>
      </w:r>
      <w:r w:rsidRPr="0004373D">
        <w:rPr>
          <w:rFonts w:ascii="Arial Nova" w:eastAsia="Times New Roman" w:hAnsi="Arial Nova" w:cs="Times New Roman"/>
          <w:b/>
          <w:bCs/>
          <w:sz w:val="22"/>
          <w:szCs w:val="22"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           WRIT 1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1</w:t>
      </w:r>
      <w:r w:rsidRPr="0004373D">
        <w:rPr>
          <w:rFonts w:ascii="Arial Nova" w:eastAsia="Times New Roman" w:hAnsi="Arial Nova" w:cs="Times New Roman"/>
          <w:sz w:val="22"/>
          <w:szCs w:val="22"/>
        </w:rPr>
        <w:t>01-Writing Colloquium</w:t>
      </w:r>
      <w:r w:rsidR="00DA29FF" w:rsidRPr="0004373D">
        <w:rPr>
          <w:rFonts w:ascii="Arial Nova" w:eastAsia="Times New Roman" w:hAnsi="Arial Nova" w:cs="Times New Roman"/>
          <w:sz w:val="22"/>
          <w:szCs w:val="22"/>
        </w:rPr>
        <w:tab/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COMM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1</w:t>
      </w:r>
      <w:r w:rsidRPr="0004373D">
        <w:rPr>
          <w:rFonts w:ascii="Arial Nova" w:eastAsia="Times New Roman" w:hAnsi="Arial Nova" w:cs="Times New Roman"/>
          <w:sz w:val="22"/>
          <w:szCs w:val="22"/>
        </w:rPr>
        <w:t>110-Basic Speech</w:t>
      </w:r>
      <w:r w:rsidRPr="0004373D">
        <w:rPr>
          <w:rFonts w:ascii="Arial Nova" w:eastAsia="Times New Roman" w:hAnsi="Arial Nova" w:cs="Times New Roman"/>
          <w:sz w:val="22"/>
          <w:szCs w:val="22"/>
        </w:rPr>
        <w:br/>
        <w:t xml:space="preserve">           WRIT 1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1</w:t>
      </w:r>
      <w:r w:rsidRPr="0004373D">
        <w:rPr>
          <w:rFonts w:ascii="Arial Nova" w:eastAsia="Times New Roman" w:hAnsi="Arial Nova" w:cs="Times New Roman"/>
          <w:sz w:val="22"/>
          <w:szCs w:val="22"/>
        </w:rPr>
        <w:t>02-Research Writing</w:t>
      </w:r>
      <w:r w:rsidR="00DA29FF" w:rsidRPr="0004373D">
        <w:rPr>
          <w:rFonts w:ascii="Arial Nova" w:eastAsia="Times New Roman" w:hAnsi="Arial Nova" w:cs="Times New Roman"/>
          <w:sz w:val="22"/>
          <w:szCs w:val="22"/>
        </w:rPr>
        <w:tab/>
      </w:r>
      <w:r w:rsidR="0004373D">
        <w:rPr>
          <w:rFonts w:ascii="Arial Nova" w:eastAsia="Times New Roman" w:hAnsi="Arial Nova" w:cs="Times New Roman"/>
          <w:sz w:val="22"/>
          <w:szCs w:val="22"/>
        </w:rPr>
        <w:tab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MATH 110-College Algebra </w:t>
      </w:r>
    </w:p>
    <w:p w14:paraId="233E940F" w14:textId="40082FDE" w:rsidR="00B959A7" w:rsidRPr="0004373D" w:rsidRDefault="00B959A7" w:rsidP="00DD70DF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EDUC 2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2</w:t>
      </w:r>
      <w:r w:rsidRPr="0004373D">
        <w:rPr>
          <w:rFonts w:ascii="Arial Nova" w:eastAsia="Times New Roman" w:hAnsi="Arial Nova" w:cs="Times New Roman"/>
          <w:sz w:val="22"/>
          <w:szCs w:val="22"/>
        </w:rPr>
        <w:t>07-Introduction to Education</w:t>
      </w:r>
      <w:r w:rsidR="00DD70DF"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</w:p>
    <w:p w14:paraId="5406492B" w14:textId="3ECA0EB1" w:rsidR="00560D87" w:rsidRPr="0004373D" w:rsidRDefault="00B959A7" w:rsidP="00560D87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Establish Educator Licensure Information System (ELIS) (unless an account has already been created for you by taking an Illinois Licensure Testing System (ILTS) exam).</w:t>
      </w:r>
      <w:r w:rsidR="00560D87"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  <w:r w:rsidR="00224619" w:rsidRPr="0004373D">
        <w:rPr>
          <w:rFonts w:ascii="Arial Nova" w:eastAsia="Times New Roman" w:hAnsi="Arial Nova" w:cs="Times New Roman"/>
          <w:sz w:val="22"/>
          <w:szCs w:val="22"/>
        </w:rPr>
        <w:t xml:space="preserve">Follow </w:t>
      </w:r>
      <w:r w:rsidR="00560D87" w:rsidRPr="0004373D">
        <w:rPr>
          <w:rFonts w:ascii="Arial Nova" w:eastAsia="Times New Roman" w:hAnsi="Arial Nova" w:cs="Times New Roman"/>
          <w:sz w:val="22"/>
          <w:szCs w:val="22"/>
        </w:rPr>
        <w:t>directions here:</w:t>
      </w:r>
    </w:p>
    <w:p w14:paraId="4B8F7CB1" w14:textId="77777777" w:rsidR="00560D87" w:rsidRPr="0004373D" w:rsidRDefault="00000000" w:rsidP="00560D87">
      <w:pPr>
        <w:pStyle w:val="ListParagraph"/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hyperlink r:id="rId13" w:anchor="search=ELIS%20account" w:history="1">
        <w:r w:rsidR="00560D87" w:rsidRPr="0004373D">
          <w:rPr>
            <w:rStyle w:val="Hyperlink"/>
            <w:rFonts w:ascii="Arial Nova" w:eastAsia="Times New Roman" w:hAnsi="Arial Nova" w:cs="Times New Roman"/>
            <w:sz w:val="22"/>
            <w:szCs w:val="22"/>
          </w:rPr>
          <w:t>https://www.isbe.net/Documents/How-To-Create-ELIS-Acct.pdf#search=ELIS%20account</w:t>
        </w:r>
      </w:hyperlink>
    </w:p>
    <w:p w14:paraId="64AF37EF" w14:textId="0C8BB821" w:rsidR="00560D87" w:rsidRPr="0004373D" w:rsidRDefault="00DA29FF" w:rsidP="00DD70DF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Eligibility </w:t>
      </w:r>
      <w:r w:rsidR="00B959A7" w:rsidRPr="0004373D">
        <w:rPr>
          <w:rFonts w:ascii="Arial Nova" w:eastAsia="Times New Roman" w:hAnsi="Arial Nova" w:cs="Times New Roman"/>
          <w:sz w:val="22"/>
          <w:szCs w:val="22"/>
        </w:rPr>
        <w:t xml:space="preserve">for EDUC </w:t>
      </w:r>
      <w:r w:rsidR="008B77E3">
        <w:rPr>
          <w:rFonts w:ascii="Arial Nova" w:eastAsia="Times New Roman" w:hAnsi="Arial Nova" w:cs="Times New Roman"/>
          <w:sz w:val="22"/>
          <w:szCs w:val="22"/>
        </w:rPr>
        <w:t>2</w:t>
      </w:r>
      <w:r w:rsidR="00B959A7" w:rsidRPr="0004373D">
        <w:rPr>
          <w:rFonts w:ascii="Arial Nova" w:eastAsia="Times New Roman" w:hAnsi="Arial Nova" w:cs="Times New Roman"/>
          <w:sz w:val="22"/>
          <w:szCs w:val="22"/>
        </w:rPr>
        <w:t xml:space="preserve">200-Preclinical Level 1 </w:t>
      </w:r>
    </w:p>
    <w:p w14:paraId="75526710" w14:textId="0F5953C4" w:rsidR="00DD70DF" w:rsidRPr="0004373D" w:rsidRDefault="00B959A7" w:rsidP="00DD70DF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hAnsi="Arial Nova" w:cs="Times New Roman"/>
          <w:sz w:val="22"/>
          <w:szCs w:val="22"/>
        </w:rPr>
        <w:t>Students</w:t>
      </w:r>
      <w:r w:rsidR="00DD70DF" w:rsidRPr="0004373D">
        <w:rPr>
          <w:rFonts w:ascii="Arial Nova" w:hAnsi="Arial Nova" w:cs="Times New Roman"/>
          <w:sz w:val="22"/>
          <w:szCs w:val="22"/>
        </w:rPr>
        <w:t xml:space="preserve"> must have a</w:t>
      </w:r>
      <w:r w:rsidR="00DD70DF" w:rsidRPr="0004373D">
        <w:rPr>
          <w:rFonts w:ascii="Arial Nova" w:hAnsi="Arial Nova" w:cs="Times New Roman"/>
          <w:b/>
          <w:bCs/>
          <w:sz w:val="22"/>
          <w:szCs w:val="22"/>
        </w:rPr>
        <w:t xml:space="preserve"> </w:t>
      </w:r>
      <w:r w:rsidR="008D46C4" w:rsidRPr="0004373D">
        <w:rPr>
          <w:rFonts w:ascii="Arial Nova" w:hAnsi="Arial Nova" w:cs="Times New Roman"/>
          <w:sz w:val="22"/>
          <w:szCs w:val="22"/>
        </w:rPr>
        <w:t xml:space="preserve">3.0 </w:t>
      </w:r>
      <w:r w:rsidR="00DD70DF" w:rsidRPr="0004373D">
        <w:rPr>
          <w:rFonts w:ascii="Arial Nova" w:hAnsi="Arial Nova" w:cs="Times New Roman"/>
          <w:sz w:val="22"/>
          <w:szCs w:val="22"/>
        </w:rPr>
        <w:t>GPA or</w:t>
      </w:r>
      <w:r w:rsidR="00560D87" w:rsidRPr="0004373D">
        <w:rPr>
          <w:rFonts w:ascii="Arial Nova" w:hAnsi="Arial Nova" w:cs="Times New Roman"/>
          <w:sz w:val="22"/>
          <w:szCs w:val="22"/>
        </w:rPr>
        <w:t xml:space="preserve"> are required to arrange to have an i</w:t>
      </w:r>
      <w:r w:rsidR="008D46C4" w:rsidRPr="0004373D">
        <w:rPr>
          <w:rFonts w:ascii="Arial Nova" w:hAnsi="Arial Nova" w:cs="Times New Roman"/>
          <w:sz w:val="22"/>
          <w:szCs w:val="22"/>
        </w:rPr>
        <w:t>nterview</w:t>
      </w:r>
      <w:r w:rsidR="00560D87" w:rsidRPr="0004373D">
        <w:rPr>
          <w:rFonts w:ascii="Arial Nova" w:hAnsi="Arial Nova" w:cs="Times New Roman"/>
          <w:sz w:val="22"/>
          <w:szCs w:val="22"/>
        </w:rPr>
        <w:t>/ writing</w:t>
      </w:r>
      <w:r w:rsidR="008D46C4" w:rsidRPr="0004373D">
        <w:rPr>
          <w:rFonts w:ascii="Arial Nova" w:hAnsi="Arial Nova" w:cs="Times New Roman"/>
          <w:sz w:val="22"/>
          <w:szCs w:val="22"/>
        </w:rPr>
        <w:t xml:space="preserve"> </w:t>
      </w:r>
      <w:r w:rsidR="00560D87" w:rsidRPr="0004373D">
        <w:rPr>
          <w:rFonts w:ascii="Arial Nova" w:hAnsi="Arial Nova" w:cs="Times New Roman"/>
          <w:sz w:val="22"/>
          <w:szCs w:val="22"/>
        </w:rPr>
        <w:t xml:space="preserve">assessment </w:t>
      </w:r>
      <w:r w:rsidR="00DD70DF" w:rsidRPr="0004373D">
        <w:rPr>
          <w:rFonts w:ascii="Arial Nova" w:hAnsi="Arial Nova" w:cs="Times New Roman"/>
          <w:sz w:val="22"/>
          <w:szCs w:val="22"/>
        </w:rPr>
        <w:t xml:space="preserve">with </w:t>
      </w:r>
      <w:r w:rsidR="00560D87" w:rsidRPr="0004373D">
        <w:rPr>
          <w:rFonts w:ascii="Arial Nova" w:hAnsi="Arial Nova" w:cs="Times New Roman"/>
          <w:sz w:val="22"/>
          <w:szCs w:val="22"/>
        </w:rPr>
        <w:t xml:space="preserve">the </w:t>
      </w:r>
      <w:r w:rsidR="00224619" w:rsidRPr="0004373D">
        <w:rPr>
          <w:rFonts w:ascii="Arial Nova" w:hAnsi="Arial Nova" w:cs="Times New Roman"/>
          <w:sz w:val="22"/>
          <w:szCs w:val="22"/>
        </w:rPr>
        <w:t xml:space="preserve">School of Education </w:t>
      </w:r>
      <w:r w:rsidR="00DD70DF" w:rsidRPr="0004373D">
        <w:rPr>
          <w:rFonts w:ascii="Arial Nova" w:hAnsi="Arial Nova" w:cs="Times New Roman"/>
          <w:sz w:val="22"/>
          <w:szCs w:val="22"/>
        </w:rPr>
        <w:t>Department Chai</w:t>
      </w:r>
      <w:r w:rsidR="00560D87" w:rsidRPr="0004373D">
        <w:rPr>
          <w:rFonts w:ascii="Arial Nova" w:hAnsi="Arial Nova" w:cs="Times New Roman"/>
          <w:sz w:val="22"/>
          <w:szCs w:val="22"/>
        </w:rPr>
        <w:t>r</w:t>
      </w:r>
      <w:r w:rsidR="00224619" w:rsidRPr="0004373D">
        <w:rPr>
          <w:rFonts w:ascii="Arial Nova" w:hAnsi="Arial Nova" w:cs="Times New Roman"/>
          <w:sz w:val="22"/>
          <w:szCs w:val="22"/>
        </w:rPr>
        <w:t>.</w:t>
      </w:r>
      <w:r w:rsidR="00560D87" w:rsidRPr="0004373D">
        <w:rPr>
          <w:rFonts w:ascii="Arial Nova" w:hAnsi="Arial Nova" w:cs="Times New Roman"/>
          <w:sz w:val="22"/>
          <w:szCs w:val="22"/>
        </w:rPr>
        <w:t xml:space="preserve"> </w:t>
      </w:r>
    </w:p>
    <w:p w14:paraId="70942B8C" w14:textId="15213B88" w:rsidR="00B959A7" w:rsidRPr="0004373D" w:rsidRDefault="00B959A7" w:rsidP="00DA29FF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b/>
          <w:bCs/>
        </w:rPr>
        <w:t xml:space="preserve">Checkpoint 2 –Admission to TEP: </w:t>
      </w:r>
      <w:r w:rsidRPr="0004373D">
        <w:rPr>
          <w:rFonts w:ascii="Arial Nova" w:eastAsia="Times New Roman" w:hAnsi="Arial Nova" w:cs="Times New Roman"/>
          <w:i/>
          <w:iCs/>
        </w:rPr>
        <w:t>(60 or more credit hour</w:t>
      </w:r>
      <w:r w:rsidR="00224619" w:rsidRPr="0004373D">
        <w:rPr>
          <w:rFonts w:ascii="Arial Nova" w:eastAsia="Times New Roman" w:hAnsi="Arial Nova" w:cs="Times New Roman"/>
          <w:i/>
          <w:iCs/>
        </w:rPr>
        <w:t>s</w:t>
      </w:r>
      <w:r w:rsidRPr="0004373D">
        <w:rPr>
          <w:rFonts w:ascii="Arial Nova" w:eastAsia="Times New Roman" w:hAnsi="Arial Nova" w:cs="Times New Roman"/>
          <w:i/>
          <w:iCs/>
        </w:rPr>
        <w:t>)</w:t>
      </w:r>
      <w:r w:rsidRPr="0004373D">
        <w:rPr>
          <w:rFonts w:ascii="Arial Nova" w:eastAsia="Times New Roman" w:hAnsi="Arial Nova" w:cs="Times New Roman"/>
          <w:i/>
          <w:iCs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Checkpoint 2 is designed to ensure that each candidate has met the prerequisites necessary to complete their application for admission to the Teacher Education Program. </w:t>
      </w:r>
    </w:p>
    <w:p w14:paraId="7FE97592" w14:textId="77777777" w:rsidR="00DA29FF" w:rsidRPr="0004373D" w:rsidRDefault="00B959A7" w:rsidP="00560D87">
      <w:pPr>
        <w:pStyle w:val="ListParagraph"/>
        <w:numPr>
          <w:ilvl w:val="0"/>
          <w:numId w:val="25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Successful completion of Checkpoint 1</w:t>
      </w:r>
    </w:p>
    <w:p w14:paraId="68AD81FA" w14:textId="4743484D" w:rsidR="00712704" w:rsidRDefault="00B959A7" w:rsidP="006D6A85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File formal application for Admission to TEP</w:t>
      </w:r>
      <w:r w:rsidR="00560D87" w:rsidRPr="0004373D">
        <w:rPr>
          <w:rFonts w:ascii="Arial Nova" w:eastAsia="Times New Roman" w:hAnsi="Arial Nova" w:cs="Times New Roman"/>
          <w:sz w:val="22"/>
          <w:szCs w:val="22"/>
        </w:rPr>
        <w:t>: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  <w:hyperlink r:id="rId14" w:history="1">
        <w:r w:rsidR="00712704" w:rsidRPr="007A5310">
          <w:rPr>
            <w:rStyle w:val="Hyperlink"/>
            <w:rFonts w:ascii="Arial Nova" w:eastAsia="Times New Roman" w:hAnsi="Arial Nova" w:cs="Times New Roman"/>
            <w:sz w:val="22"/>
            <w:szCs w:val="22"/>
          </w:rPr>
          <w:t>https://forms.gle/3mDkidFoCTLvfkqD9</w:t>
        </w:r>
      </w:hyperlink>
    </w:p>
    <w:p w14:paraId="48C219CF" w14:textId="77777777" w:rsidR="00712704" w:rsidRDefault="00712704" w:rsidP="006D6A85">
      <w:pPr>
        <w:rPr>
          <w:rFonts w:ascii="Arial Nova" w:eastAsia="Times New Roman" w:hAnsi="Arial Nova" w:cs="Times New Roman"/>
          <w:sz w:val="22"/>
          <w:szCs w:val="22"/>
        </w:rPr>
      </w:pPr>
    </w:p>
    <w:p w14:paraId="0B2350EE" w14:textId="315D2EEC" w:rsidR="00B959A7" w:rsidRPr="0004373D" w:rsidRDefault="00B959A7" w:rsidP="006D6A85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which requires</w:t>
      </w:r>
      <w:r w:rsidR="00224619" w:rsidRPr="0004373D">
        <w:rPr>
          <w:rFonts w:ascii="Arial Nova" w:eastAsia="Times New Roman" w:hAnsi="Arial Nova" w:cs="Times New Roman"/>
          <w:sz w:val="22"/>
          <w:szCs w:val="22"/>
        </w:rPr>
        <w:t xml:space="preserve"> completion of the following:</w:t>
      </w:r>
    </w:p>
    <w:p w14:paraId="64E4622C" w14:textId="13E2C115" w:rsidR="00B959A7" w:rsidRPr="0004373D" w:rsidRDefault="00B959A7" w:rsidP="00DA29FF">
      <w:pPr>
        <w:numPr>
          <w:ilvl w:val="2"/>
          <w:numId w:val="14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EDUC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2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200-Preclinical Level 1 </w:t>
      </w:r>
    </w:p>
    <w:p w14:paraId="2897162A" w14:textId="460017AC" w:rsidR="00B959A7" w:rsidRPr="0004373D" w:rsidRDefault="00B959A7" w:rsidP="00DA29FF">
      <w:pPr>
        <w:numPr>
          <w:ilvl w:val="2"/>
          <w:numId w:val="14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EDUC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22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05-Educational Foundations </w:t>
      </w:r>
    </w:p>
    <w:p w14:paraId="473A1D7A" w14:textId="0C99013F" w:rsidR="00B959A7" w:rsidRPr="0004373D" w:rsidRDefault="00B959A7" w:rsidP="00DA29FF">
      <w:pPr>
        <w:numPr>
          <w:ilvl w:val="2"/>
          <w:numId w:val="14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EDUC 2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2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10-Educational Psychology </w:t>
      </w:r>
    </w:p>
    <w:p w14:paraId="1B89B175" w14:textId="64D1869B" w:rsidR="00B959A7" w:rsidRPr="0004373D" w:rsidRDefault="00B959A7" w:rsidP="00DA29FF">
      <w:pPr>
        <w:numPr>
          <w:ilvl w:val="2"/>
          <w:numId w:val="14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lastRenderedPageBreak/>
        <w:t>EDUC 2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2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60-Educating Students with Exceptionalities </w:t>
      </w:r>
    </w:p>
    <w:p w14:paraId="4651DFE4" w14:textId="77777777" w:rsidR="00DA29FF" w:rsidRPr="0004373D" w:rsidRDefault="00B959A7" w:rsidP="00560D87">
      <w:pPr>
        <w:pStyle w:val="ListParagraph"/>
        <w:numPr>
          <w:ilvl w:val="0"/>
          <w:numId w:val="26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Successful Ratings on Professional Behaviors/Dispositions; any ratings below three will require a plan for professional growth. Professional Behaviors/Disposition review will occur in all courses, all preclinical experiences, and student teaching.</w:t>
      </w:r>
    </w:p>
    <w:p w14:paraId="1317775B" w14:textId="288F3132" w:rsidR="00DA29FF" w:rsidRPr="0004373D" w:rsidRDefault="00B959A7" w:rsidP="00560D87">
      <w:pPr>
        <w:pStyle w:val="ListParagraph"/>
        <w:numPr>
          <w:ilvl w:val="0"/>
          <w:numId w:val="26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Cumulative GPA of 2.75 </w:t>
      </w:r>
      <w:r w:rsidR="00560D87" w:rsidRPr="0004373D">
        <w:rPr>
          <w:rFonts w:ascii="Arial Nova" w:eastAsia="Times New Roman" w:hAnsi="Arial Nova" w:cs="Times New Roman"/>
          <w:sz w:val="22"/>
          <w:szCs w:val="22"/>
        </w:rPr>
        <w:t>(all courses completed)</w:t>
      </w:r>
    </w:p>
    <w:p w14:paraId="79B798A8" w14:textId="11313872" w:rsidR="00DA29FF" w:rsidRPr="0004373D" w:rsidRDefault="00B959A7" w:rsidP="00DA29FF">
      <w:pPr>
        <w:pStyle w:val="ListParagraph"/>
        <w:numPr>
          <w:ilvl w:val="0"/>
          <w:numId w:val="26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Major GPA of 3.00 </w:t>
      </w:r>
      <w:r w:rsidR="00560D87" w:rsidRPr="0004373D">
        <w:rPr>
          <w:rFonts w:ascii="Arial Nova" w:eastAsia="Times New Roman" w:hAnsi="Arial Nova" w:cs="Times New Roman"/>
          <w:sz w:val="22"/>
          <w:szCs w:val="22"/>
        </w:rPr>
        <w:t>(education and licensure courses; right side of checklist)</w:t>
      </w:r>
    </w:p>
    <w:p w14:paraId="7638EAEB" w14:textId="77777777" w:rsidR="00DA29FF" w:rsidRPr="00224619" w:rsidRDefault="00DA29FF" w:rsidP="00DA29FF">
      <w:pPr>
        <w:rPr>
          <w:rFonts w:ascii="Arial Nova" w:eastAsia="Times New Roman" w:hAnsi="Arial Nova" w:cs="Times New Roman"/>
        </w:rPr>
      </w:pPr>
    </w:p>
    <w:p w14:paraId="0EA1916B" w14:textId="77777777" w:rsidR="00DA29FF" w:rsidRPr="0004373D" w:rsidRDefault="00B959A7" w:rsidP="00DA29FF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b/>
          <w:bCs/>
        </w:rPr>
        <w:t xml:space="preserve">Checkpoint 3 – Advancement in TEP: </w:t>
      </w:r>
      <w:r w:rsidRPr="0004373D">
        <w:rPr>
          <w:rFonts w:ascii="Arial Nova" w:eastAsia="Times New Roman" w:hAnsi="Arial Nova" w:cs="Times New Roman"/>
        </w:rPr>
        <w:t>(</w:t>
      </w:r>
      <w:r w:rsidRPr="0004373D">
        <w:rPr>
          <w:rFonts w:ascii="Arial Nova" w:eastAsia="Times New Roman" w:hAnsi="Arial Nova" w:cs="Times New Roman"/>
          <w:i/>
          <w:iCs/>
        </w:rPr>
        <w:t>75 or more credit hours)</w:t>
      </w:r>
      <w:r w:rsidRPr="0004373D">
        <w:rPr>
          <w:rFonts w:ascii="Arial Nova" w:eastAsia="Times New Roman" w:hAnsi="Arial Nova" w:cs="Times New Roman"/>
          <w:i/>
          <w:iCs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Checkpoint 3 is designed to ensure that each candidate has met the prerequisites necessary to advance in the Teacher Education Program and apply for student teaching. </w:t>
      </w:r>
    </w:p>
    <w:p w14:paraId="1A341A49" w14:textId="77777777" w:rsidR="00DA29FF" w:rsidRPr="0004373D" w:rsidRDefault="00B959A7" w:rsidP="00560D87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Successful completion of Checkpoint 2 </w:t>
      </w:r>
    </w:p>
    <w:p w14:paraId="7CF15473" w14:textId="0448AA9B" w:rsidR="00224619" w:rsidRPr="0004373D" w:rsidRDefault="00B959A7" w:rsidP="00224619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Submit application for student teaching </w:t>
      </w:r>
      <w:r w:rsidR="00560D87" w:rsidRPr="0004373D">
        <w:rPr>
          <w:rFonts w:ascii="Arial Nova" w:eastAsia="Times New Roman" w:hAnsi="Arial Nova" w:cs="Times New Roman"/>
          <w:sz w:val="22"/>
          <w:szCs w:val="22"/>
        </w:rPr>
        <w:t xml:space="preserve">to Dr. Jan Writer at </w:t>
      </w:r>
      <w:hyperlink r:id="rId15" w:history="1">
        <w:r w:rsidR="00224619" w:rsidRPr="0004373D">
          <w:rPr>
            <w:rStyle w:val="Hyperlink"/>
            <w:rFonts w:ascii="Arial Nova" w:eastAsia="Times New Roman" w:hAnsi="Arial Nova" w:cs="Times New Roman"/>
            <w:sz w:val="22"/>
            <w:szCs w:val="22"/>
          </w:rPr>
          <w:t>jwriter@ben.edu</w:t>
        </w:r>
      </w:hyperlink>
      <w:r w:rsidR="00224619" w:rsidRPr="0004373D">
        <w:rPr>
          <w:rFonts w:ascii="Arial Nova" w:eastAsia="Times New Roman" w:hAnsi="Arial Nova" w:cs="Times New Roman"/>
          <w:sz w:val="22"/>
          <w:szCs w:val="22"/>
        </w:rPr>
        <w:t xml:space="preserve">  </w:t>
      </w:r>
    </w:p>
    <w:p w14:paraId="1C863A75" w14:textId="6B866476" w:rsidR="00441475" w:rsidRPr="0004373D" w:rsidRDefault="00B959A7" w:rsidP="00560D87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Completion of Math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1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112- Mathematics for Elementary Teachers 1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 xml:space="preserve">(Fall) 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&amp; </w:t>
      </w:r>
    </w:p>
    <w:p w14:paraId="28F7ED5D" w14:textId="43F8852D" w:rsidR="00DA29FF" w:rsidRPr="0004373D" w:rsidRDefault="00B959A7" w:rsidP="00560D87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Math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>2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222 – Mathematics for Elementary Teachers 2 </w:t>
      </w:r>
      <w:r w:rsidR="00441475" w:rsidRPr="0004373D">
        <w:rPr>
          <w:rFonts w:ascii="Arial Nova" w:eastAsia="Times New Roman" w:hAnsi="Arial Nova" w:cs="Times New Roman"/>
          <w:sz w:val="22"/>
          <w:szCs w:val="22"/>
        </w:rPr>
        <w:t xml:space="preserve">(Spring) </w:t>
      </w:r>
      <w:r w:rsidRPr="0004373D">
        <w:rPr>
          <w:rFonts w:ascii="Arial Nova" w:eastAsia="Times New Roman" w:hAnsi="Arial Nova" w:cs="Times New Roman"/>
          <w:sz w:val="22"/>
          <w:szCs w:val="22"/>
        </w:rPr>
        <w:t>for Elementary Education Major</w:t>
      </w:r>
    </w:p>
    <w:p w14:paraId="5C5D2C1E" w14:textId="5ECF87AA" w:rsidR="00DA29FF" w:rsidRPr="0004373D" w:rsidRDefault="00B959A7" w:rsidP="00560D87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Cumulative GPA of 2.75</w:t>
      </w:r>
      <w:r w:rsidR="00AF2EA4" w:rsidRPr="0004373D">
        <w:rPr>
          <w:rFonts w:ascii="Arial Nova" w:eastAsia="Times New Roman" w:hAnsi="Arial Nova" w:cs="Times New Roman"/>
          <w:sz w:val="22"/>
          <w:szCs w:val="22"/>
        </w:rPr>
        <w:t xml:space="preserve"> (all courses completed)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</w:p>
    <w:p w14:paraId="464B08A4" w14:textId="18F2596F" w:rsidR="00DA29FF" w:rsidRPr="0004373D" w:rsidRDefault="00B959A7" w:rsidP="00560D87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Major GPA of 3.00 </w:t>
      </w:r>
      <w:r w:rsidR="00AF2EA4" w:rsidRPr="0004373D">
        <w:rPr>
          <w:rFonts w:ascii="Arial Nova" w:eastAsia="Times New Roman" w:hAnsi="Arial Nova" w:cs="Times New Roman"/>
          <w:sz w:val="22"/>
          <w:szCs w:val="22"/>
        </w:rPr>
        <w:t>(education and licensure courses; right side of checklist)</w:t>
      </w:r>
    </w:p>
    <w:p w14:paraId="779484A0" w14:textId="7CF8DCCD" w:rsidR="00B959A7" w:rsidRPr="0004373D" w:rsidRDefault="00B959A7" w:rsidP="00560D87">
      <w:pPr>
        <w:pStyle w:val="ListParagraph"/>
        <w:numPr>
          <w:ilvl w:val="0"/>
          <w:numId w:val="27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Successful Ratings on Professional Behaviors/Dispositions; any ratings below three will require a plan for professional growth. Professional</w:t>
      </w:r>
      <w:r w:rsidR="00DA29FF"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Behaviors/Disposition review will occur in all courses, all preclinical experiences, and student teaching. </w:t>
      </w:r>
    </w:p>
    <w:p w14:paraId="5DA28A0C" w14:textId="77777777" w:rsidR="00DA29FF" w:rsidRPr="00224619" w:rsidRDefault="00DA29FF" w:rsidP="00DA29FF">
      <w:pPr>
        <w:rPr>
          <w:rFonts w:ascii="Arial Nova" w:eastAsia="Times New Roman" w:hAnsi="Arial Nova" w:cs="Times New Roman"/>
        </w:rPr>
      </w:pPr>
    </w:p>
    <w:p w14:paraId="17B0F36D" w14:textId="77777777" w:rsidR="00B959A7" w:rsidRPr="0004373D" w:rsidRDefault="00B959A7" w:rsidP="00DA29FF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b/>
          <w:bCs/>
        </w:rPr>
        <w:t xml:space="preserve">Checkpoint 4 – Admission to Student Teaching: </w:t>
      </w:r>
      <w:r w:rsidRPr="0004373D">
        <w:rPr>
          <w:rFonts w:ascii="Arial Nova" w:eastAsia="Times New Roman" w:hAnsi="Arial Nova" w:cs="Times New Roman"/>
          <w:i/>
          <w:iCs/>
        </w:rPr>
        <w:t>(90 or more credit hours</w:t>
      </w:r>
      <w:r w:rsidRPr="00224619">
        <w:rPr>
          <w:rFonts w:ascii="Arial Nova" w:eastAsia="Times New Roman" w:hAnsi="Arial Nova" w:cs="Times New Roman"/>
          <w:i/>
          <w:iCs/>
        </w:rPr>
        <w:t>)</w:t>
      </w:r>
      <w:r w:rsidRPr="00224619">
        <w:rPr>
          <w:rFonts w:ascii="Arial Nova" w:eastAsia="Times New Roman" w:hAnsi="Arial Nova" w:cs="Times New Roman"/>
          <w:i/>
          <w:iCs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Checkpoint 4 is designed to ensure that each candidate has met the prerequisites necessary to advance in the Teacher Education Program and to be admitted to student teaching. </w:t>
      </w:r>
    </w:p>
    <w:p w14:paraId="4EAA16DD" w14:textId="77777777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Successful completion of Checkpoint 3</w:t>
      </w:r>
    </w:p>
    <w:p w14:paraId="456CB3A9" w14:textId="77777777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Completion of any additional student teaching requirements of the placement district </w:t>
      </w:r>
    </w:p>
    <w:p w14:paraId="14C7F416" w14:textId="05824CD8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Passage of applicable content area test(s) </w:t>
      </w:r>
      <w:r w:rsidRPr="0004373D">
        <w:rPr>
          <w:rFonts w:ascii="Arial Nova" w:eastAsia="Times New Roman" w:hAnsi="Arial Nova" w:cs="Times New Roman"/>
          <w:b/>
          <w:bCs/>
          <w:sz w:val="22"/>
          <w:szCs w:val="22"/>
        </w:rPr>
        <w:t>prior</w:t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 to student teaching. The student teaching application will not be processed until the application content area test(s) has been passed. This may result in a delay of the student teaching experience. </w:t>
      </w:r>
    </w:p>
    <w:p w14:paraId="1E88485C" w14:textId="77777777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Cumulative GPA of 2.75 </w:t>
      </w:r>
    </w:p>
    <w:p w14:paraId="3BFAD215" w14:textId="77777777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Major GPA of 3.00 </w:t>
      </w:r>
    </w:p>
    <w:p w14:paraId="63F34F0B" w14:textId="77777777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Passage of applicable content area test prior to student teaching </w:t>
      </w:r>
    </w:p>
    <w:p w14:paraId="1DBF6CF2" w14:textId="048C1E5F" w:rsidR="00DA29FF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Successful Ratings on Professional Behaviors/Dispositions; any ratings below three will require a plan for professional growth. Professional</w:t>
      </w:r>
      <w:r w:rsidR="00224619"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  <w:r w:rsidRPr="0004373D">
        <w:rPr>
          <w:rFonts w:ascii="Arial Nova" w:eastAsia="Times New Roman" w:hAnsi="Arial Nova" w:cs="Times New Roman"/>
          <w:sz w:val="22"/>
          <w:szCs w:val="22"/>
        </w:rPr>
        <w:t>Behaviors/Disposition review will occur in all courses, all preclinical</w:t>
      </w:r>
      <w:r w:rsidR="00DA29FF" w:rsidRPr="0004373D">
        <w:rPr>
          <w:rFonts w:ascii="Arial Nova" w:eastAsia="Times New Roman" w:hAnsi="Arial Nova" w:cs="Times New Roman"/>
          <w:sz w:val="22"/>
          <w:szCs w:val="22"/>
        </w:rPr>
        <w:t xml:space="preserve"> </w:t>
      </w:r>
      <w:r w:rsidRPr="0004373D">
        <w:rPr>
          <w:rFonts w:ascii="Arial Nova" w:eastAsia="Times New Roman" w:hAnsi="Arial Nova" w:cs="Times New Roman"/>
          <w:sz w:val="22"/>
          <w:szCs w:val="22"/>
        </w:rPr>
        <w:t>experiences, and student teaching.</w:t>
      </w:r>
    </w:p>
    <w:p w14:paraId="4C7D4BF7" w14:textId="53C35136" w:rsidR="00B959A7" w:rsidRPr="0004373D" w:rsidRDefault="00B959A7" w:rsidP="00AF2EA4">
      <w:pPr>
        <w:pStyle w:val="ListParagraph"/>
        <w:numPr>
          <w:ilvl w:val="0"/>
          <w:numId w:val="28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Application for graduation submitted to Registrar’s office. </w:t>
      </w:r>
    </w:p>
    <w:p w14:paraId="070F6188" w14:textId="64C6B868" w:rsidR="00DA29FF" w:rsidRPr="0004373D" w:rsidRDefault="00DA29FF" w:rsidP="00DA29FF">
      <w:pPr>
        <w:rPr>
          <w:rFonts w:ascii="Arial Nova" w:eastAsia="Times New Roman" w:hAnsi="Arial Nova" w:cs="Times New Roman"/>
          <w:sz w:val="22"/>
          <w:szCs w:val="22"/>
        </w:rPr>
      </w:pPr>
    </w:p>
    <w:p w14:paraId="05A13EAC" w14:textId="77777777" w:rsidR="00DA29FF" w:rsidRPr="0004373D" w:rsidRDefault="00B959A7" w:rsidP="00DA29FF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b/>
          <w:bCs/>
        </w:rPr>
        <w:t>Checkpoint 5 – Degree and Program Completion</w:t>
      </w:r>
      <w:r w:rsidRPr="0004373D">
        <w:rPr>
          <w:rFonts w:ascii="Arial Nova" w:eastAsia="Times New Roman" w:hAnsi="Arial Nova" w:cs="Times New Roman"/>
        </w:rPr>
        <w:t xml:space="preserve">: </w:t>
      </w:r>
      <w:r w:rsidRPr="0004373D">
        <w:rPr>
          <w:rFonts w:ascii="Arial Nova" w:eastAsia="Times New Roman" w:hAnsi="Arial Nova" w:cs="Times New Roman"/>
          <w:i/>
          <w:iCs/>
        </w:rPr>
        <w:t>(105 or more credit hours)</w:t>
      </w:r>
      <w:r w:rsidRPr="0004373D">
        <w:rPr>
          <w:rFonts w:ascii="Arial Nova" w:eastAsia="Times New Roman" w:hAnsi="Arial Nova" w:cs="Times New Roman"/>
          <w:i/>
          <w:iCs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Checkpoint 5 is designed to ensure that each candidate has met all requirements for degree and program completion. </w:t>
      </w:r>
    </w:p>
    <w:p w14:paraId="75061C93" w14:textId="77777777" w:rsidR="00DA29FF" w:rsidRPr="0004373D" w:rsidRDefault="00B959A7" w:rsidP="00AF2EA4">
      <w:pPr>
        <w:pStyle w:val="ListParagraph"/>
        <w:numPr>
          <w:ilvl w:val="0"/>
          <w:numId w:val="29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Successful completion of Checkpoint 4 </w:t>
      </w:r>
    </w:p>
    <w:p w14:paraId="45595444" w14:textId="77777777" w:rsidR="00DA29FF" w:rsidRPr="0004373D" w:rsidRDefault="00B959A7" w:rsidP="00AF2EA4">
      <w:pPr>
        <w:pStyle w:val="ListParagraph"/>
        <w:numPr>
          <w:ilvl w:val="0"/>
          <w:numId w:val="29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Completion of Student Teaching experience with grade of C or better </w:t>
      </w:r>
    </w:p>
    <w:p w14:paraId="63E739A5" w14:textId="288F4119" w:rsidR="00DA29FF" w:rsidRPr="0004373D" w:rsidRDefault="00B959A7" w:rsidP="00AF2EA4">
      <w:pPr>
        <w:pStyle w:val="ListParagraph"/>
        <w:numPr>
          <w:ilvl w:val="0"/>
          <w:numId w:val="29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 xml:space="preserve">Successful passage of edTPA requirements </w:t>
      </w:r>
      <w:r w:rsidR="0004373D">
        <w:rPr>
          <w:rFonts w:ascii="Arial Nova" w:eastAsia="Times New Roman" w:hAnsi="Arial Nova" w:cs="Times New Roman"/>
          <w:sz w:val="22"/>
          <w:szCs w:val="22"/>
        </w:rPr>
        <w:t>as required by ISBE</w:t>
      </w:r>
    </w:p>
    <w:p w14:paraId="1B0DF77B" w14:textId="7C7145B3" w:rsidR="00B959A7" w:rsidRPr="00224619" w:rsidRDefault="00B959A7" w:rsidP="00AF2EA4">
      <w:pPr>
        <w:pStyle w:val="ListParagraph"/>
        <w:numPr>
          <w:ilvl w:val="0"/>
          <w:numId w:val="29"/>
        </w:numPr>
        <w:rPr>
          <w:rFonts w:ascii="Arial Nova" w:eastAsia="Times New Roman" w:hAnsi="Arial Nova" w:cs="Times New Roman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lastRenderedPageBreak/>
        <w:t>Successful ratings on Professional Behavior</w:t>
      </w:r>
      <w:r w:rsidRPr="00224619">
        <w:rPr>
          <w:rFonts w:ascii="Arial Nova" w:eastAsia="Times New Roman" w:hAnsi="Arial Nova" w:cs="Times New Roman"/>
        </w:rPr>
        <w:t>/Dispositions. Any ratings below three will require a plan for</w:t>
      </w:r>
      <w:r w:rsidR="00DA29FF" w:rsidRPr="00224619">
        <w:rPr>
          <w:rFonts w:ascii="Arial Nova" w:eastAsia="Times New Roman" w:hAnsi="Arial Nova" w:cs="Times New Roman"/>
        </w:rPr>
        <w:t xml:space="preserve"> p</w:t>
      </w:r>
      <w:r w:rsidRPr="00224619">
        <w:rPr>
          <w:rFonts w:ascii="Arial Nova" w:eastAsia="Times New Roman" w:hAnsi="Arial Nova" w:cs="Times New Roman"/>
        </w:rPr>
        <w:t xml:space="preserve">rofessional growth </w:t>
      </w:r>
    </w:p>
    <w:p w14:paraId="07ABAD18" w14:textId="77777777" w:rsidR="00DA29FF" w:rsidRPr="00224619" w:rsidRDefault="00DA29FF" w:rsidP="00DA29FF">
      <w:pPr>
        <w:rPr>
          <w:rFonts w:ascii="Arial Nova" w:eastAsia="Times New Roman" w:hAnsi="Arial Nova" w:cs="Times New Roman"/>
        </w:rPr>
      </w:pPr>
    </w:p>
    <w:p w14:paraId="125FB712" w14:textId="77777777" w:rsidR="00DA29FF" w:rsidRPr="0004373D" w:rsidRDefault="00B959A7" w:rsidP="00DA29FF">
      <w:p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b/>
          <w:bCs/>
        </w:rPr>
        <w:t xml:space="preserve">Checkpoint 6 – Program Exit and Licensure: </w:t>
      </w:r>
      <w:r w:rsidRPr="0004373D">
        <w:rPr>
          <w:rFonts w:ascii="Arial Nova" w:eastAsia="Times New Roman" w:hAnsi="Arial Nova" w:cs="Times New Roman"/>
          <w:i/>
          <w:iCs/>
        </w:rPr>
        <w:t>(120 or more credit hours)</w:t>
      </w:r>
      <w:r w:rsidRPr="0004373D">
        <w:rPr>
          <w:rFonts w:ascii="Arial Nova" w:eastAsia="Times New Roman" w:hAnsi="Arial Nova" w:cs="Times New Roman"/>
          <w:i/>
          <w:iCs/>
        </w:rPr>
        <w:br/>
      </w:r>
      <w:r w:rsidRPr="0004373D">
        <w:rPr>
          <w:rFonts w:ascii="Arial Nova" w:eastAsia="Times New Roman" w:hAnsi="Arial Nova" w:cs="Times New Roman"/>
          <w:sz w:val="22"/>
          <w:szCs w:val="22"/>
        </w:rPr>
        <w:t>Checkpoint 6 is designed to ensure that each candidate has been issued a Professional Educator License (PEL)</w:t>
      </w:r>
    </w:p>
    <w:p w14:paraId="506411C1" w14:textId="2ABD0369" w:rsidR="00BD09A5" w:rsidRPr="0004373D" w:rsidRDefault="00B959A7" w:rsidP="00AF2EA4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Successful completion of Checkpoint 5</w:t>
      </w:r>
    </w:p>
    <w:p w14:paraId="3038929C" w14:textId="7708BF3D" w:rsidR="00BD09A5" w:rsidRPr="0004373D" w:rsidRDefault="00BD09A5" w:rsidP="007D2AF2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  <w:sz w:val="22"/>
          <w:szCs w:val="22"/>
        </w:rPr>
      </w:pPr>
      <w:r w:rsidRPr="0004373D">
        <w:rPr>
          <w:rFonts w:ascii="Arial Nova" w:eastAsia="Times New Roman" w:hAnsi="Arial Nova" w:cs="Times New Roman"/>
          <w:sz w:val="22"/>
          <w:szCs w:val="22"/>
        </w:rPr>
        <w:t>Apply for and register license through ELIS</w:t>
      </w:r>
    </w:p>
    <w:sectPr w:rsidR="00BD09A5" w:rsidRPr="0004373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09F2" w14:textId="77777777" w:rsidR="00A72A1D" w:rsidRDefault="00A72A1D" w:rsidP="00BD09A5">
      <w:r>
        <w:separator/>
      </w:r>
    </w:p>
  </w:endnote>
  <w:endnote w:type="continuationSeparator" w:id="0">
    <w:p w14:paraId="5C43DA50" w14:textId="77777777" w:rsidR="00A72A1D" w:rsidRDefault="00A72A1D" w:rsidP="00BD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A559" w14:textId="28476BCD" w:rsidR="008F3CF9" w:rsidRDefault="008F3CF9">
    <w:pPr>
      <w:pStyle w:val="Footer"/>
    </w:pPr>
    <w:r>
      <w:t xml:space="preserve">Updated </w:t>
    </w:r>
    <w:r w:rsidR="00BB7BF0">
      <w:t xml:space="preserve">04.01.23. </w:t>
    </w:r>
    <w:r>
      <w:t>Devall</w:t>
    </w:r>
  </w:p>
  <w:p w14:paraId="1B08EC18" w14:textId="77777777" w:rsidR="00BD09A5" w:rsidRDefault="00BD0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3E0E" w14:textId="77777777" w:rsidR="00A72A1D" w:rsidRDefault="00A72A1D" w:rsidP="00BD09A5">
      <w:r>
        <w:separator/>
      </w:r>
    </w:p>
  </w:footnote>
  <w:footnote w:type="continuationSeparator" w:id="0">
    <w:p w14:paraId="4CE8D1C7" w14:textId="77777777" w:rsidR="00A72A1D" w:rsidRDefault="00A72A1D" w:rsidP="00BD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33C"/>
    <w:multiLevelType w:val="multilevel"/>
    <w:tmpl w:val="423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C5E57"/>
    <w:multiLevelType w:val="hybridMultilevel"/>
    <w:tmpl w:val="F2900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43A6"/>
    <w:multiLevelType w:val="hybridMultilevel"/>
    <w:tmpl w:val="D458E0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2C77"/>
    <w:multiLevelType w:val="hybridMultilevel"/>
    <w:tmpl w:val="1E8439D2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3593D"/>
    <w:multiLevelType w:val="hybridMultilevel"/>
    <w:tmpl w:val="73CAAE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D6630"/>
    <w:multiLevelType w:val="hybridMultilevel"/>
    <w:tmpl w:val="F500AE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7215EA"/>
    <w:multiLevelType w:val="hybridMultilevel"/>
    <w:tmpl w:val="CF5A5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019"/>
    <w:multiLevelType w:val="hybridMultilevel"/>
    <w:tmpl w:val="D5D6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5D3765"/>
    <w:multiLevelType w:val="hybridMultilevel"/>
    <w:tmpl w:val="B23AD9F6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5253B"/>
    <w:multiLevelType w:val="hybridMultilevel"/>
    <w:tmpl w:val="26F61F2E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C10E53"/>
    <w:multiLevelType w:val="hybridMultilevel"/>
    <w:tmpl w:val="641C16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8C2BFF"/>
    <w:multiLevelType w:val="hybridMultilevel"/>
    <w:tmpl w:val="648232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F2720"/>
    <w:multiLevelType w:val="hybridMultilevel"/>
    <w:tmpl w:val="6C98641A"/>
    <w:lvl w:ilvl="0" w:tplc="6422D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74249"/>
    <w:multiLevelType w:val="hybridMultilevel"/>
    <w:tmpl w:val="ADF62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F38E9"/>
    <w:multiLevelType w:val="multilevel"/>
    <w:tmpl w:val="FB5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566E1"/>
    <w:multiLevelType w:val="multilevel"/>
    <w:tmpl w:val="0EFA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17D1A"/>
    <w:multiLevelType w:val="hybridMultilevel"/>
    <w:tmpl w:val="79764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1CC2"/>
    <w:multiLevelType w:val="hybridMultilevel"/>
    <w:tmpl w:val="EE1C3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910AA"/>
    <w:multiLevelType w:val="multilevel"/>
    <w:tmpl w:val="FBE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A6EBD"/>
    <w:multiLevelType w:val="hybridMultilevel"/>
    <w:tmpl w:val="3E76B00A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15F89"/>
    <w:multiLevelType w:val="hybridMultilevel"/>
    <w:tmpl w:val="A558BD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32C40"/>
    <w:multiLevelType w:val="hybridMultilevel"/>
    <w:tmpl w:val="0E4E17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71246E"/>
    <w:multiLevelType w:val="multilevel"/>
    <w:tmpl w:val="7BC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41E86"/>
    <w:multiLevelType w:val="hybridMultilevel"/>
    <w:tmpl w:val="045C8014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C162B"/>
    <w:multiLevelType w:val="hybridMultilevel"/>
    <w:tmpl w:val="51D6F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963BE"/>
    <w:multiLevelType w:val="hybridMultilevel"/>
    <w:tmpl w:val="7D048B0E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6F24A8"/>
    <w:multiLevelType w:val="hybridMultilevel"/>
    <w:tmpl w:val="D87E0CCA"/>
    <w:lvl w:ilvl="0" w:tplc="3670BE52">
      <w:start w:val="1"/>
      <w:numFmt w:val="bullet"/>
      <w:lvlText w:val=""/>
      <w:lvlJc w:val="left"/>
      <w:pPr>
        <w:ind w:left="144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522CC"/>
    <w:multiLevelType w:val="hybridMultilevel"/>
    <w:tmpl w:val="4D0E9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D5A67"/>
    <w:multiLevelType w:val="hybridMultilevel"/>
    <w:tmpl w:val="E4F2BB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3537C1"/>
    <w:multiLevelType w:val="hybridMultilevel"/>
    <w:tmpl w:val="2BBE5D12"/>
    <w:lvl w:ilvl="0" w:tplc="3670BE52">
      <w:start w:val="1"/>
      <w:numFmt w:val="bullet"/>
      <w:lvlText w:val="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5351058">
    <w:abstractNumId w:val="0"/>
  </w:num>
  <w:num w:numId="2" w16cid:durableId="171602923">
    <w:abstractNumId w:val="22"/>
  </w:num>
  <w:num w:numId="3" w16cid:durableId="591281962">
    <w:abstractNumId w:val="15"/>
  </w:num>
  <w:num w:numId="4" w16cid:durableId="1690452216">
    <w:abstractNumId w:val="18"/>
  </w:num>
  <w:num w:numId="5" w16cid:durableId="144129198">
    <w:abstractNumId w:val="2"/>
  </w:num>
  <w:num w:numId="6" w16cid:durableId="1941332304">
    <w:abstractNumId w:val="17"/>
  </w:num>
  <w:num w:numId="7" w16cid:durableId="1055542059">
    <w:abstractNumId w:val="20"/>
  </w:num>
  <w:num w:numId="8" w16cid:durableId="1405832760">
    <w:abstractNumId w:val="27"/>
  </w:num>
  <w:num w:numId="9" w16cid:durableId="1162236380">
    <w:abstractNumId w:val="7"/>
  </w:num>
  <w:num w:numId="10" w16cid:durableId="1378699629">
    <w:abstractNumId w:val="4"/>
  </w:num>
  <w:num w:numId="11" w16cid:durableId="1775903505">
    <w:abstractNumId w:val="11"/>
  </w:num>
  <w:num w:numId="12" w16cid:durableId="789395923">
    <w:abstractNumId w:val="6"/>
  </w:num>
  <w:num w:numId="13" w16cid:durableId="1354571677">
    <w:abstractNumId w:val="24"/>
  </w:num>
  <w:num w:numId="14" w16cid:durableId="1836338395">
    <w:abstractNumId w:val="14"/>
  </w:num>
  <w:num w:numId="15" w16cid:durableId="1354727281">
    <w:abstractNumId w:val="1"/>
  </w:num>
  <w:num w:numId="16" w16cid:durableId="1789540571">
    <w:abstractNumId w:val="21"/>
  </w:num>
  <w:num w:numId="17" w16cid:durableId="1694762621">
    <w:abstractNumId w:val="10"/>
  </w:num>
  <w:num w:numId="18" w16cid:durableId="935594463">
    <w:abstractNumId w:val="5"/>
  </w:num>
  <w:num w:numId="19" w16cid:durableId="831027429">
    <w:abstractNumId w:val="28"/>
  </w:num>
  <w:num w:numId="20" w16cid:durableId="371810975">
    <w:abstractNumId w:val="13"/>
  </w:num>
  <w:num w:numId="21" w16cid:durableId="852037885">
    <w:abstractNumId w:val="12"/>
  </w:num>
  <w:num w:numId="22" w16cid:durableId="1557201035">
    <w:abstractNumId w:val="26"/>
  </w:num>
  <w:num w:numId="23" w16cid:durableId="411121156">
    <w:abstractNumId w:val="16"/>
  </w:num>
  <w:num w:numId="24" w16cid:durableId="114253656">
    <w:abstractNumId w:val="3"/>
  </w:num>
  <w:num w:numId="25" w16cid:durableId="1468934346">
    <w:abstractNumId w:val="23"/>
  </w:num>
  <w:num w:numId="26" w16cid:durableId="1655989989">
    <w:abstractNumId w:val="19"/>
  </w:num>
  <w:num w:numId="27" w16cid:durableId="933248728">
    <w:abstractNumId w:val="9"/>
  </w:num>
  <w:num w:numId="28" w16cid:durableId="962420465">
    <w:abstractNumId w:val="8"/>
  </w:num>
  <w:num w:numId="29" w16cid:durableId="1200976700">
    <w:abstractNumId w:val="25"/>
  </w:num>
  <w:num w:numId="30" w16cid:durableId="10486467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A7"/>
    <w:rsid w:val="0004373D"/>
    <w:rsid w:val="00224619"/>
    <w:rsid w:val="00230121"/>
    <w:rsid w:val="003A7E13"/>
    <w:rsid w:val="00441475"/>
    <w:rsid w:val="004755B1"/>
    <w:rsid w:val="00560D87"/>
    <w:rsid w:val="006B05A9"/>
    <w:rsid w:val="006D6A85"/>
    <w:rsid w:val="00712704"/>
    <w:rsid w:val="00731BA6"/>
    <w:rsid w:val="008B77E3"/>
    <w:rsid w:val="008D46C4"/>
    <w:rsid w:val="008E7C81"/>
    <w:rsid w:val="008F3CF9"/>
    <w:rsid w:val="0096063B"/>
    <w:rsid w:val="00965CBE"/>
    <w:rsid w:val="00A703CC"/>
    <w:rsid w:val="00A72A1D"/>
    <w:rsid w:val="00AD435D"/>
    <w:rsid w:val="00AF2EA4"/>
    <w:rsid w:val="00AF579D"/>
    <w:rsid w:val="00B6458A"/>
    <w:rsid w:val="00B959A7"/>
    <w:rsid w:val="00BB7BF0"/>
    <w:rsid w:val="00BD09A5"/>
    <w:rsid w:val="00C31695"/>
    <w:rsid w:val="00CA02F4"/>
    <w:rsid w:val="00D95BEC"/>
    <w:rsid w:val="00DA29FF"/>
    <w:rsid w:val="00DD70DF"/>
    <w:rsid w:val="00E10552"/>
    <w:rsid w:val="00EB15A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AE22"/>
  <w15:chartTrackingRefBased/>
  <w15:docId w15:val="{94F509F6-4858-7D45-902A-ADCAC53A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95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9A5"/>
  </w:style>
  <w:style w:type="paragraph" w:styleId="Footer">
    <w:name w:val="footer"/>
    <w:basedOn w:val="Normal"/>
    <w:link w:val="FooterChar"/>
    <w:uiPriority w:val="99"/>
    <w:unhideWhenUsed/>
    <w:rsid w:val="00BD0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9A5"/>
  </w:style>
  <w:style w:type="paragraph" w:styleId="BalloonText">
    <w:name w:val="Balloon Text"/>
    <w:basedOn w:val="Normal"/>
    <w:link w:val="BalloonTextChar"/>
    <w:uiPriority w:val="99"/>
    <w:semiHidden/>
    <w:unhideWhenUsed/>
    <w:rsid w:val="00D95B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E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14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7E3"/>
    <w:rPr>
      <w:color w:val="954F72" w:themeColor="followedHyperlink"/>
      <w:u w:val="single"/>
    </w:rPr>
  </w:style>
  <w:style w:type="character" w:customStyle="1" w:styleId="mark9wivv6fze">
    <w:name w:val="mark9wivv6fze"/>
    <w:basedOn w:val="DefaultParagraphFont"/>
    <w:rsid w:val="008E7C81"/>
  </w:style>
  <w:style w:type="character" w:customStyle="1" w:styleId="mark302s4vp69">
    <w:name w:val="mark302s4vp69"/>
    <w:basedOn w:val="DefaultParagraphFont"/>
    <w:rsid w:val="008E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be.net/Documents/How-To-Create-ELIS-Acc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r.dcfstraining.org/User/Auth/Login!loginPage.a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ojoliet.org/web/child-protection/virtus-protecting-gods-childr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writer@ben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gle/3mDkidFoCTLvfkq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4BBF668287242B0F264D760E2C7C5" ma:contentTypeVersion="13" ma:contentTypeDescription="Create a new document." ma:contentTypeScope="" ma:versionID="0187bfbe604a00df66f14ed44cfb6076">
  <xsd:schema xmlns:xsd="http://www.w3.org/2001/XMLSchema" xmlns:xs="http://www.w3.org/2001/XMLSchema" xmlns:p="http://schemas.microsoft.com/office/2006/metadata/properties" xmlns:ns3="73bd7d4d-ccd9-4a59-940e-b668aff56b13" xmlns:ns4="b4556366-d3ab-4f90-ae2b-06462e8e12e6" targetNamespace="http://schemas.microsoft.com/office/2006/metadata/properties" ma:root="true" ma:fieldsID="4ff821989dcee761871bd11faf0c2176" ns3:_="" ns4:_="">
    <xsd:import namespace="73bd7d4d-ccd9-4a59-940e-b668aff56b13"/>
    <xsd:import namespace="b4556366-d3ab-4f90-ae2b-06462e8e1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d7d4d-ccd9-4a59-940e-b668aff5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56366-d3ab-4f90-ae2b-06462e8e1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A2EE1-16B5-4EFE-8DED-DC8A4E4D1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04942-3ECD-4657-91E6-142DA8F7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d7d4d-ccd9-4a59-940e-b668aff56b13"/>
    <ds:schemaRef ds:uri="b4556366-d3ab-4f90-ae2b-06462e8e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BDBF3-FC2E-4703-805C-CABAF74CD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4DB96-51B2-4BCC-9070-90F4A75D8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Devall, Alandra</dc:creator>
  <cp:keywords/>
  <dc:description/>
  <cp:lastModifiedBy>Devall, Alandra</cp:lastModifiedBy>
  <cp:revision>3</cp:revision>
  <dcterms:created xsi:type="dcterms:W3CDTF">2023-04-02T20:18:00Z</dcterms:created>
  <dcterms:modified xsi:type="dcterms:W3CDTF">2023-04-03T23:06:00Z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0x010100C314BBF668287242B0F264D760E2C7C5</vt:lpwstr>
  </property>
</Properties>
</file>